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3 (Framework Prices)</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gjdgxs" w:id="0"/>
      <w:bookmarkEnd w:id="0"/>
      <w:r w:rsidDel="00000000" w:rsidR="00000000" w:rsidRPr="00000000">
        <w:rPr>
          <w:rFonts w:ascii="Arial" w:cs="Arial" w:eastAsia="Arial" w:hAnsi="Arial"/>
          <w:b w:val="1"/>
          <w:color w:val="000000"/>
          <w:sz w:val="24"/>
          <w:szCs w:val="24"/>
          <w:rtl w:val="0"/>
        </w:rPr>
        <w:t xml:space="preserve">How Framework Prices are used to calculate Call-Off Charges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w:t>
      </w:r>
      <w:r w:rsidDel="00000000" w:rsidR="00000000" w:rsidRPr="00000000">
        <w:rPr>
          <w:rtl w:val="0"/>
        </w:rPr>
      </w:r>
    </w:p>
    <w:p w:rsidR="00000000" w:rsidDel="00000000" w:rsidP="00000000" w:rsidRDefault="00000000" w:rsidRPr="00000000" w14:paraId="00000004">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44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will be used as the basis for the charges (and are maximums that the Supplier may charge) under each Call Off Contract; and</w:t>
      </w:r>
      <w:r w:rsidDel="00000000" w:rsidR="00000000" w:rsidRPr="00000000">
        <w:rPr>
          <w:rtl w:val="0"/>
        </w:rPr>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cannot be increased except as in accordance with this Schedule.</w:t>
      </w:r>
      <w:r w:rsidDel="00000000" w:rsidR="00000000" w:rsidRPr="00000000">
        <w:rPr>
          <w:rtl w:val="0"/>
        </w:rPr>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Charges:</w:t>
      </w:r>
      <w:r w:rsidDel="00000000" w:rsidR="00000000" w:rsidRPr="00000000">
        <w:rPr>
          <w:rtl w:val="0"/>
        </w:rPr>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shall be calculated in accordance with the terms of the Call Off Contract and in particular in accordance with the terms of the Order Form; </w:t>
      </w:r>
      <w:r w:rsidDel="00000000" w:rsidR="00000000" w:rsidRPr="00000000">
        <w:rPr>
          <w:rtl w:val="0"/>
        </w:rPr>
      </w:r>
    </w:p>
    <w:p w:rsidR="00000000" w:rsidDel="00000000" w:rsidP="00000000" w:rsidRDefault="00000000" w:rsidRPr="00000000" w14:paraId="00000008">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30j0zll" w:id="1"/>
      <w:bookmarkEnd w:id="1"/>
      <w:r w:rsidDel="00000000" w:rsidR="00000000" w:rsidRPr="00000000">
        <w:rPr>
          <w:rFonts w:ascii="Arial" w:cs="Arial" w:eastAsia="Arial" w:hAnsi="Arial"/>
          <w:color w:val="000000"/>
          <w:sz w:val="24"/>
          <w:szCs w:val="24"/>
          <w:rtl w:val="0"/>
        </w:rPr>
        <w:t xml:space="preserve">Any variation to the Charges payable under a Call Off Contract must be agreed between the Supplier and the Buyer and implemented using the same procedure for altering Framework Prices in accordance with the provisions of this Framework Schedule 3]</w:t>
      </w:r>
      <w:r w:rsidDel="00000000" w:rsidR="00000000" w:rsidRPr="00000000">
        <w:rPr>
          <w:rtl w:val="0"/>
        </w:rPr>
      </w:r>
    </w:p>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How Framework Prices are calculated</w:t>
      </w:r>
      <w:r w:rsidDel="00000000" w:rsidR="00000000" w:rsidRPr="00000000">
        <w:rPr>
          <w:rtl w:val="0"/>
        </w:rPr>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pricing mechanisms and prices set out in Annex 1 shall be available for use in calculation of Framework Prices in Call Off Contracts.</w:t>
      </w:r>
      <w:r w:rsidDel="00000000" w:rsidR="00000000" w:rsidRPr="00000000">
        <w:rPr>
          <w:rtl w:val="0"/>
        </w:rPr>
      </w:r>
    </w:p>
    <w:bookmarkStart w:colFirst="0" w:colLast="0" w:name="1fob9te" w:id="2"/>
    <w:bookmarkEnd w:id="2"/>
    <w:p w:rsidR="00000000" w:rsidDel="00000000" w:rsidP="00000000" w:rsidRDefault="00000000" w:rsidRPr="00000000" w14:paraId="0000000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bookmarkStart w:colFirst="0" w:colLast="0" w:name="_3znysh7" w:id="3"/>
      <w:bookmarkEnd w:id="3"/>
      <w:r w:rsidDel="00000000" w:rsidR="00000000" w:rsidRPr="00000000">
        <w:rPr>
          <w:rFonts w:ascii="Arial" w:cs="Arial" w:eastAsia="Arial" w:hAnsi="Arial"/>
          <w:b w:val="1"/>
          <w:color w:val="000000"/>
          <w:sz w:val="24"/>
          <w:szCs w:val="24"/>
          <w:rtl w:val="0"/>
        </w:rPr>
        <w:t xml:space="preserve">Are costs and expenses are included in the Framework Prices</w:t>
      </w:r>
      <w:r w:rsidDel="00000000" w:rsidR="00000000" w:rsidRPr="00000000">
        <w:rPr>
          <w:rtl w:val="0"/>
        </w:rPr>
      </w:r>
    </w:p>
    <w:p w:rsidR="00000000" w:rsidDel="00000000" w:rsidP="00000000" w:rsidRDefault="00000000" w:rsidRPr="00000000" w14:paraId="0000000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Except as expressly set out in Paragraph 4 below, or otherwise stated in a Call Off Order Form the Framework Prices shall include all costs and expenses relating to the provision of Deliverables. No further amounts shall be payable in respect of matters such as:</w:t>
      </w:r>
      <w:r w:rsidDel="00000000" w:rsidR="00000000" w:rsidRPr="00000000">
        <w:rPr>
          <w:rtl w:val="0"/>
        </w:rPr>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incidental expenses such as travel, subsistence and lodging, document or report reproduction, shipping, desktop or office equipment costs, network or data interchange costs or other telecommunications charges; or</w:t>
      </w:r>
      <w:r w:rsidDel="00000000" w:rsidR="00000000" w:rsidRPr="00000000">
        <w:rPr>
          <w:rtl w:val="0"/>
        </w:rPr>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0"/>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costs incurred prior to the commencement of any Call Off Contract.</w:t>
      </w:r>
      <w:r w:rsidDel="00000000" w:rsidR="00000000" w:rsidRPr="00000000">
        <w:rPr>
          <w:rtl w:val="0"/>
        </w:rPr>
      </w:r>
    </w:p>
    <w:p w:rsidR="00000000" w:rsidDel="00000000" w:rsidP="00000000" w:rsidRDefault="00000000" w:rsidRPr="00000000" w14:paraId="0000000F">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When the Supplier can ask to change the Framework Prices</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will be fixed for the first year following the Framework Contract Commencement Date (the date of expiry of such period is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  After this Framework Prices can only be adjusted on each following yearly anniversary (the date of each such anniversary is also a "</w:t>
      </w:r>
      <w:r w:rsidDel="00000000" w:rsidR="00000000" w:rsidRPr="00000000">
        <w:rPr>
          <w:rFonts w:ascii="Arial" w:cs="Arial" w:eastAsia="Arial" w:hAnsi="Arial"/>
          <w:b w:val="1"/>
          <w:color w:val="000000"/>
          <w:sz w:val="24"/>
          <w:szCs w:val="24"/>
          <w:rtl w:val="0"/>
        </w:rPr>
        <w:t xml:space="preserve">Review Date</w:t>
      </w:r>
      <w:r w:rsidDel="00000000" w:rsidR="00000000" w:rsidRPr="00000000">
        <w:rPr>
          <w:rFonts w:ascii="Arial" w:cs="Arial" w:eastAsia="Arial" w:hAnsi="Arial"/>
          <w:color w:val="000000"/>
          <w:sz w:val="24"/>
          <w:szCs w:val="24"/>
          <w:rtl w:val="0"/>
        </w:rPr>
        <w:t xml:space="preserve">").</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2et92p0" w:id="4"/>
      <w:bookmarkEnd w:id="4"/>
      <w:r w:rsidDel="00000000" w:rsidR="00000000" w:rsidRPr="00000000">
        <w:rPr>
          <w:rFonts w:ascii="Arial" w:cs="Arial" w:eastAsia="Arial" w:hAnsi="Arial"/>
          <w:color w:val="000000"/>
          <w:sz w:val="24"/>
          <w:szCs w:val="24"/>
          <w:rtl w:val="0"/>
        </w:rPr>
        <w:t xml:space="preserve">The Supplier shall give CCS at least three (3) Months' notice in writing prior to a Review Date where it wants to request an increase.  If the Supplier does not give notice in time then it will only be able to request an increase prior to the next Review Date.</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Any notice requesting an increase shall include:</w:t>
      </w:r>
      <w:r w:rsidDel="00000000" w:rsidR="00000000" w:rsidRPr="00000000">
        <w:rPr>
          <w:rtl w:val="0"/>
        </w:rPr>
      </w:r>
    </w:p>
    <w:p w:rsidR="00000000" w:rsidDel="00000000" w:rsidP="00000000" w:rsidRDefault="00000000" w:rsidRPr="00000000" w14:paraId="0000001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list of the Framework Prices to be reviewed;</w:t>
      </w:r>
      <w:r w:rsidDel="00000000" w:rsidR="00000000" w:rsidRPr="00000000">
        <w:rPr>
          <w:rtl w:val="0"/>
        </w:rPr>
      </w:r>
    </w:p>
    <w:p w:rsidR="00000000" w:rsidDel="00000000" w:rsidP="00000000" w:rsidRDefault="00000000" w:rsidRPr="00000000" w14:paraId="0000001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for each Framework Price under review, written evidence of the justification for the requested increase including:</w:t>
      </w:r>
      <w:r w:rsidDel="00000000" w:rsidR="00000000" w:rsidRPr="00000000">
        <w:rPr>
          <w:rtl w:val="0"/>
        </w:rPr>
      </w:r>
    </w:p>
    <w:p w:rsidR="00000000" w:rsidDel="00000000" w:rsidP="00000000" w:rsidRDefault="00000000" w:rsidRPr="00000000" w14:paraId="00000015">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a breakdown of the profit and cost components that comprise the relevant Framework Price; </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16">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details of the movement in the different identified cost components of the relevant Framework Price;</w:t>
      </w:r>
      <w:r w:rsidDel="00000000" w:rsidR="00000000" w:rsidRPr="00000000">
        <w:rPr>
          <w:rtl w:val="0"/>
        </w:rPr>
      </w:r>
    </w:p>
    <w:p w:rsidR="00000000" w:rsidDel="00000000" w:rsidP="00000000" w:rsidRDefault="00000000" w:rsidRPr="00000000" w14:paraId="00000017">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reasons for the movement in the different identified cost components of the relevant Framework Price;</w:t>
      </w:r>
      <w:r w:rsidDel="00000000" w:rsidR="00000000" w:rsidRPr="00000000">
        <w:rPr>
          <w:rtl w:val="0"/>
        </w:rPr>
      </w:r>
    </w:p>
    <w:p w:rsidR="00000000" w:rsidDel="00000000" w:rsidP="00000000" w:rsidRDefault="00000000" w:rsidRPr="00000000" w14:paraId="00000018">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evidence that the Supplier has attempted to mitigate against the increase in the relevant cost components; and</w:t>
      </w:r>
      <w:r w:rsidDel="00000000" w:rsidR="00000000" w:rsidRPr="00000000">
        <w:rPr>
          <w:rtl w:val="0"/>
        </w:rPr>
      </w:r>
    </w:p>
    <w:p w:rsidR="00000000" w:rsidDel="00000000" w:rsidP="00000000" w:rsidRDefault="00000000" w:rsidRPr="00000000" w14:paraId="00000019">
      <w:pPr>
        <w:numPr>
          <w:ilvl w:val="3"/>
          <w:numId w:val="1"/>
        </w:numPr>
        <w:pBdr>
          <w:top w:space="0" w:sz="0" w:val="nil"/>
          <w:left w:space="0" w:sz="0" w:val="nil"/>
          <w:bottom w:space="0" w:sz="0" w:val="nil"/>
          <w:right w:space="0" w:sz="0" w:val="nil"/>
          <w:between w:space="0" w:sz="0" w:val="nil"/>
        </w:pBdr>
        <w:tabs>
          <w:tab w:val="left" w:leader="none" w:pos="1985"/>
          <w:tab w:val="left" w:leader="none" w:pos="2127"/>
          <w:tab w:val="left" w:leader="none" w:pos="1985"/>
          <w:tab w:val="left" w:leader="none" w:pos="2552"/>
        </w:tabs>
        <w:spacing w:after="120" w:before="120" w:line="240" w:lineRule="auto"/>
        <w:ind w:left="1985" w:hanging="815"/>
        <w:rPr>
          <w:sz w:val="24"/>
          <w:szCs w:val="24"/>
        </w:rPr>
      </w:pPr>
      <w:r w:rsidDel="00000000" w:rsidR="00000000" w:rsidRPr="00000000">
        <w:rPr>
          <w:rFonts w:ascii="Arial" w:cs="Arial" w:eastAsia="Arial" w:hAnsi="Arial"/>
          <w:color w:val="000000"/>
          <w:sz w:val="24"/>
          <w:szCs w:val="24"/>
          <w:rtl w:val="0"/>
        </w:rPr>
        <w:t xml:space="preserve">evidence that the Supplier’s profit component of the relevant  Framework Price is no greater than that applying to Framework Prices using the same pricing mechanism as at the Contract Commencement Date.</w:t>
      </w: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bookmarkStart w:colFirst="0" w:colLast="0" w:name="_tyjcwt" w:id="5"/>
      <w:bookmarkEnd w:id="5"/>
      <w:r w:rsidDel="00000000" w:rsidR="00000000" w:rsidRPr="00000000">
        <w:rPr>
          <w:rFonts w:ascii="Arial" w:cs="Arial" w:eastAsia="Arial" w:hAnsi="Arial"/>
          <w:color w:val="000000"/>
          <w:sz w:val="24"/>
          <w:szCs w:val="24"/>
          <w:rtl w:val="0"/>
        </w:rPr>
        <w:t xml:space="preserve">Where CCS approves an increase then it will be implemented from the first (1st) Working Day following the relevant Review Date or such later date as CCS may determine at its sole discretion and Annex 1 shall be updated accordingly.</w:t>
      </w:r>
      <w:r w:rsidDel="00000000" w:rsidR="00000000" w:rsidRPr="00000000">
        <w:rPr>
          <w:rtl w:val="0"/>
        </w:rPr>
      </w:r>
    </w:p>
    <w:p w:rsidR="00000000" w:rsidDel="00000000" w:rsidP="00000000" w:rsidRDefault="00000000" w:rsidRPr="00000000" w14:paraId="0000001B">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60" w:hanging="360"/>
        <w:jc w:val="both"/>
        <w:rPr/>
      </w:pPr>
      <w:r w:rsidDel="00000000" w:rsidR="00000000" w:rsidRPr="00000000">
        <w:rPr>
          <w:rFonts w:ascii="Arial" w:cs="Arial" w:eastAsia="Arial" w:hAnsi="Arial"/>
          <w:b w:val="1"/>
          <w:color w:val="000000"/>
          <w:sz w:val="24"/>
          <w:szCs w:val="24"/>
          <w:rtl w:val="0"/>
        </w:rPr>
        <w:t xml:space="preserve">Other events that allow the Supplier to change the Framework Prices</w:t>
      </w: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leader="none" w:pos="709"/>
        </w:tabs>
        <w:spacing w:after="120" w:before="120" w:line="240" w:lineRule="auto"/>
        <w:ind w:left="1134" w:hanging="504"/>
        <w:rPr/>
      </w:pPr>
      <w:r w:rsidDel="00000000" w:rsidR="00000000" w:rsidRPr="00000000">
        <w:rPr>
          <w:rFonts w:ascii="Arial" w:cs="Arial" w:eastAsia="Arial" w:hAnsi="Arial"/>
          <w:color w:val="000000"/>
          <w:sz w:val="24"/>
          <w:szCs w:val="24"/>
          <w:rtl w:val="0"/>
        </w:rPr>
        <w:t xml:space="preserve">The Framework Prices can also be varied (and Annex 1 will be updated accordingly) due to:</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Specific Change in Law in accordance with Clause 24;</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review in accordance with insurance requirements in Clause 13; </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benchmarking review in accordance with Call Off Schedule 16 (Benchmarking)</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810"/>
        <w:rPr>
          <w:rFonts w:ascii="Arial" w:cs="Arial" w:eastAsia="Arial" w:hAnsi="Arial"/>
        </w:rPr>
      </w:pPr>
      <w:r w:rsidDel="00000000" w:rsidR="00000000" w:rsidRPr="00000000">
        <w:rPr>
          <w:rFonts w:ascii="Arial" w:cs="Arial" w:eastAsia="Arial" w:hAnsi="Arial"/>
          <w:color w:val="000000"/>
          <w:sz w:val="24"/>
          <w:szCs w:val="24"/>
          <w:rtl w:val="0"/>
        </w:rPr>
        <w:t xml:space="preserve">a request from the Supplier, which it can make at any time, to decrease the Framework Prices; </w:t>
      </w: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980" w:hanging="1372"/>
        <w:rPr>
          <w:rFonts w:ascii="Arial" w:cs="Arial" w:eastAsia="Arial" w:hAnsi="Arial"/>
          <w:color w:val="000000"/>
          <w:sz w:val="24"/>
          <w:szCs w:val="24"/>
          <w:highlight w:val="magenta"/>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709"/>
        </w:tabs>
        <w:spacing w:after="240" w:before="120" w:line="240" w:lineRule="auto"/>
        <w:ind w:left="360" w:firstLine="0"/>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3">
      <w:pPr>
        <w:tabs>
          <w:tab w:val="left" w:leader="none" w:pos="0"/>
        </w:tabs>
        <w:spacing w:after="240" w:before="240" w:line="240" w:lineRule="auto"/>
        <w:ind w:left="644" w:hanging="360"/>
        <w:jc w:val="both"/>
        <w:rPr>
          <w:rFonts w:ascii="Arial Bold" w:cs="Arial Bold" w:eastAsia="Arial Bold" w:hAnsi="Arial Bold"/>
          <w:b w:val="1"/>
          <w:smallCaps w:val="1"/>
        </w:rPr>
      </w:pPr>
      <w:r w:rsidDel="00000000" w:rsidR="00000000" w:rsidRPr="00000000">
        <w:rPr>
          <w:rFonts w:ascii="Arial Bold" w:cs="Arial Bold" w:eastAsia="Arial Bold" w:hAnsi="Arial Bold"/>
          <w:b w:val="1"/>
          <w:smallCaps w:val="1"/>
          <w:rtl w:val="0"/>
        </w:rPr>
        <w:t xml:space="preserve">Please see embedded folder within the Framework Contract Documents folder.</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0"/>
        </w:tabs>
        <w:spacing w:after="240" w:before="240" w:line="240" w:lineRule="auto"/>
        <w:ind w:left="644" w:hanging="360"/>
        <w:jc w:val="both"/>
        <w:rPr>
          <w:rFonts w:ascii="Arial Bold" w:cs="Arial Bold" w:eastAsia="Arial Bold" w:hAnsi="Arial Bold"/>
          <w:b w:val="1"/>
          <w:smallCaps w:val="1"/>
          <w:highlight w:val="yellow"/>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656" w:hanging="1372"/>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rPr>
          <w:rFonts w:ascii="Arial" w:cs="Arial" w:eastAsia="Arial" w:hAnsi="Arial"/>
          <w:b w:val="1"/>
          <w:sz w:val="36"/>
          <w:szCs w:val="36"/>
        </w:rPr>
      </w:pPr>
      <w:bookmarkStart w:colFirst="0" w:colLast="0" w:name="_3dy6vkm" w:id="6"/>
      <w:bookmarkEnd w:id="6"/>
      <w:r w:rsidDel="00000000" w:rsidR="00000000" w:rsidRPr="00000000">
        <w:br w:type="page"/>
      </w:r>
      <w:r w:rsidDel="00000000" w:rsidR="00000000" w:rsidRPr="00000000">
        <w:rPr>
          <w:rFonts w:ascii="Arial" w:cs="Arial" w:eastAsia="Arial" w:hAnsi="Arial"/>
          <w:b w:val="1"/>
          <w:sz w:val="36"/>
          <w:szCs w:val="36"/>
          <w:rtl w:val="0"/>
        </w:rPr>
        <w:t xml:space="preserve">Annex 1: Rates and Prices</w:t>
      </w:r>
    </w:p>
    <w:p w:rsidR="00000000" w:rsidDel="00000000" w:rsidP="00000000" w:rsidRDefault="00000000" w:rsidRPr="00000000" w14:paraId="00000027">
      <w:pPr>
        <w:keepNext w:val="1"/>
        <w:spacing w:after="240" w:before="240" w:line="240" w:lineRule="auto"/>
        <w:rPr>
          <w:rFonts w:ascii="Arial" w:cs="Arial" w:eastAsia="Arial" w:hAnsi="Arial"/>
          <w:b w:val="1"/>
          <w:sz w:val="24"/>
          <w:szCs w:val="24"/>
        </w:rPr>
        <w:sectPr>
          <w:headerReference r:id="rId6" w:type="default"/>
          <w:headerReference r:id="rId7" w:type="first"/>
          <w:footerReference r:id="rId8" w:type="default"/>
          <w:footerReference r:id="rId9" w:type="first"/>
          <w:pgSz w:h="16838" w:w="11906" w:orient="portrait"/>
          <w:pgMar w:bottom="1440" w:top="1888" w:left="1440" w:right="1440" w:header="709" w:footer="709"/>
          <w:pgNumType w:start="1"/>
        </w:sectPr>
      </w:pPr>
      <w:r w:rsidDel="00000000" w:rsidR="00000000" w:rsidRPr="00000000">
        <w:rPr>
          <w:rFonts w:ascii="Arial" w:cs="Arial" w:eastAsia="Arial" w:hAnsi="Arial"/>
          <w:b w:val="1"/>
          <w:sz w:val="24"/>
          <w:szCs w:val="24"/>
          <w:rtl w:val="0"/>
        </w:rPr>
        <w:t xml:space="preserve">Redacted under FOIA section 43, Commercial Interests</w:t>
      </w:r>
    </w:p>
    <w:p w:rsidR="00000000" w:rsidDel="00000000" w:rsidP="00000000" w:rsidRDefault="00000000" w:rsidRPr="00000000" w14:paraId="00000028">
      <w:pPr>
        <w:rPr>
          <w:rFonts w:ascii="Arial" w:cs="Arial" w:eastAsia="Arial" w:hAnsi="Arial"/>
          <w:b w:val="1"/>
          <w:sz w:val="24"/>
          <w:szCs w:val="24"/>
        </w:rPr>
      </w:pPr>
      <w:r w:rsidDel="00000000" w:rsidR="00000000" w:rsidRPr="00000000">
        <w:rPr>
          <w:rtl w:val="0"/>
        </w:rPr>
      </w:r>
    </w:p>
    <w:sectPr>
      <w:type w:val="nextPage"/>
      <w:pgSz w:h="16838" w:w="11906" w:orient="portrait"/>
      <w:pgMar w:bottom="1440" w:top="1888"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D">
    <w:pPr>
      <w:tabs>
        <w:tab w:val="center" w:leader="none" w:pos="4513"/>
        <w:tab w:val="right" w:leader="none" w:pos="9026"/>
      </w:tabs>
      <w:spacing w:after="0" w:lineRule="auto"/>
      <w:rPr/>
    </w:pPr>
    <w:r w:rsidDel="00000000" w:rsidR="00000000" w:rsidRPr="00000000">
      <w:rPr>
        <w:rtl w:val="0"/>
      </w:rPr>
      <w:t xml:space="preserve">Framework Ref: RM</w:t>
      <w:tab/>
      <w:t xml:space="preserve">                                           </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r w:rsidDel="00000000" w:rsidR="00000000" w:rsidRPr="00000000">
      <w:rPr>
        <w:rtl w:val="0"/>
      </w:rPr>
      <w:tab/>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0">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tab/>
      <w:t xml:space="preserve">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2">
    <w:pPr>
      <w:tabs>
        <w:tab w:val="left" w:leader="none" w:pos="720"/>
        <w:tab w:val="left" w:leader="none" w:pos="1440"/>
        <w:tab w:val="left" w:leader="none" w:pos="2160"/>
        <w:tab w:val="left" w:leader="none" w:pos="2880"/>
        <w:tab w:val="left" w:leader="none" w:pos="3600"/>
        <w:tab w:val="left" w:leader="none" w:pos="4320"/>
        <w:tab w:val="left" w:leader="none" w:pos="4905"/>
      </w:tabs>
      <w:spacing w:after="0" w:line="240" w:lineRule="auto"/>
      <w:jc w:val="both"/>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v3.1</w:t>
      <w:tab/>
    </w:r>
    <w:r w:rsidDel="00000000" w:rsidR="00000000" w:rsidRPr="00000000">
      <w:rPr>
        <w:rFonts w:ascii="Arial" w:cs="Arial" w:eastAsia="Arial" w:hAnsi="Arial"/>
        <w:color w:val="bfbfbf"/>
        <w:sz w:val="20"/>
        <w:szCs w:val="20"/>
        <w:rtl w:val="0"/>
      </w:rPr>
      <w:tab/>
    </w:r>
    <w:r w:rsidDel="00000000" w:rsidR="00000000" w:rsidRPr="00000000">
      <w:rPr>
        <w:color w:val="bfbfbf"/>
        <w:rtl w:val="0"/>
      </w:rPr>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3 (Framework Prices)</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990" w:hanging="720"/>
      </w:pPr>
      <w:rPr>
        <w:b w:val="0"/>
        <w:i w:val="0"/>
        <w:smallCaps w:val="0"/>
        <w:strike w:val="0"/>
        <w:color w:val="000000"/>
        <w:sz w:val="24"/>
        <w:szCs w:val="24"/>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